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2B52" w:rsidRDefault="00AD2B52">
      <w:pPr>
        <w:pStyle w:val="Normal1"/>
        <w:jc w:val="center"/>
      </w:pPr>
    </w:p>
    <w:p w:rsidR="00AD2B52" w:rsidRDefault="0012652D">
      <w:pPr>
        <w:pStyle w:val="Normal1"/>
      </w:pPr>
      <w:r>
        <w:rPr>
          <w:rFonts w:ascii="Helvetica Neue" w:eastAsia="Helvetica Neue" w:hAnsi="Helvetica Neue" w:cs="Helvetica Neue"/>
          <w:sz w:val="36"/>
          <w:szCs w:val="36"/>
        </w:rPr>
        <w:t>FICHE DE PRÉSENTATION D’UN PROJET</w:t>
      </w:r>
    </w:p>
    <w:p w:rsidR="00AD2B52" w:rsidRDefault="0012652D">
      <w:pPr>
        <w:pStyle w:val="Normal1"/>
      </w:pPr>
      <w:r>
        <w:rPr>
          <w:rFonts w:ascii="Helvetica Neue" w:eastAsia="Helvetica Neue" w:hAnsi="Helvetica Neue" w:cs="Helvetica Neue"/>
          <w:i/>
          <w:color w:val="666666"/>
          <w:sz w:val="20"/>
          <w:szCs w:val="20"/>
        </w:rPr>
        <w:t>(</w:t>
      </w:r>
      <w:proofErr w:type="gramStart"/>
      <w:r>
        <w:rPr>
          <w:rFonts w:ascii="Helvetica Neue" w:eastAsia="Helvetica Neue" w:hAnsi="Helvetica Neue" w:cs="Helvetica Neue"/>
          <w:i/>
          <w:color w:val="666666"/>
          <w:sz w:val="20"/>
          <w:szCs w:val="20"/>
        </w:rPr>
        <w:t>date</w:t>
      </w:r>
      <w:proofErr w:type="gramEnd"/>
      <w:r>
        <w:rPr>
          <w:rFonts w:ascii="Helvetica Neue" w:eastAsia="Helvetica Neue" w:hAnsi="Helvetica Neue" w:cs="Helvetica Neue"/>
          <w:i/>
          <w:color w:val="666666"/>
          <w:sz w:val="20"/>
          <w:szCs w:val="20"/>
        </w:rPr>
        <w:t xml:space="preserve"> création de la fiche)</w:t>
      </w:r>
    </w:p>
    <w:p w:rsidR="00AD2B52" w:rsidRDefault="0012652D">
      <w:pPr>
        <w:pStyle w:val="Normal1"/>
        <w:jc w:val="both"/>
      </w:pPr>
      <w:r>
        <w:rPr>
          <w:rFonts w:ascii="Helvetica Neue" w:eastAsia="Helvetica Neue" w:hAnsi="Helvetica Neue" w:cs="Helvetica Neue"/>
          <w:i/>
          <w:color w:val="666666"/>
          <w:sz w:val="20"/>
          <w:szCs w:val="20"/>
        </w:rPr>
        <w:t>L’IRAEE Inter réseau Régional Agriculture Energie et Environnement a pour objectif de recenser l’ensemble des projets sur la thématique énergie et agriculture. Cette thématique énergie et agriculture regroupe les actions visant l’économie des intrants et notamment la fertilisation, le semis direct, l’autonomie fourragère, la gestion de l’irrigation, qualité des sols, le stockage carbone... Dans ce cadre nous vous proposons de compléter cette fiche de présentation de manière à diffuser et faire connaître votre projet aux acteurs de la région.</w:t>
      </w:r>
    </w:p>
    <w:p w:rsidR="00AD2B52" w:rsidRDefault="0012652D">
      <w:pPr>
        <w:pStyle w:val="Normal1"/>
      </w:pPr>
      <w:r>
        <w:rPr>
          <w:rFonts w:ascii="Helvetica Neue" w:eastAsia="Helvetica Neue" w:hAnsi="Helvetica Neue" w:cs="Helvetica Neue"/>
          <w:i/>
          <w:color w:val="666666"/>
          <w:sz w:val="20"/>
          <w:szCs w:val="20"/>
        </w:rPr>
        <w:t>Votre fiche sera disponible en téléchargement sur le site internet www.jediagnostiquemaferme.com</w:t>
      </w:r>
    </w:p>
    <w:p w:rsidR="00AD2B52" w:rsidRDefault="0012652D">
      <w:pPr>
        <w:pStyle w:val="Normal1"/>
      </w:pPr>
      <w:r>
        <w:rPr>
          <w:rFonts w:ascii="Helvetica Neue" w:eastAsia="Helvetica Neue" w:hAnsi="Helvetica Neue" w:cs="Helvetica Neue"/>
          <w:i/>
          <w:color w:val="666666"/>
          <w:sz w:val="20"/>
          <w:szCs w:val="20"/>
        </w:rPr>
        <w:t>Pour égayer la présentation merci de nous transmettre une photo illustrative relative à votre projet.</w:t>
      </w:r>
    </w:p>
    <w:p w:rsidR="00AD2B52" w:rsidRDefault="00AD2B52">
      <w:pPr>
        <w:pStyle w:val="Normal1"/>
      </w:pPr>
    </w:p>
    <w:p w:rsidR="00AD2B52" w:rsidRDefault="0012652D">
      <w:pPr>
        <w:pStyle w:val="Normal1"/>
      </w:pPr>
      <w:r>
        <w:rPr>
          <w:rFonts w:ascii="Helvetica Neue" w:eastAsia="Helvetica Neue" w:hAnsi="Helvetica Neue" w:cs="Helvetica Neue"/>
          <w:sz w:val="20"/>
          <w:szCs w:val="20"/>
        </w:rPr>
        <w:t>Titre de l’action :</w:t>
      </w:r>
      <w:r w:rsidR="009B11BC">
        <w:rPr>
          <w:rFonts w:ascii="Helvetica Neue" w:eastAsia="Helvetica Neue" w:hAnsi="Helvetica Neue" w:cs="Helvetica Neue"/>
          <w:sz w:val="20"/>
          <w:szCs w:val="20"/>
        </w:rPr>
        <w:t xml:space="preserve"> Inventaires de cycle de vie  et amélioration des pratiques de production des fruits et légumes</w:t>
      </w:r>
    </w:p>
    <w:p w:rsidR="00AD2B52" w:rsidRDefault="0012652D">
      <w:pPr>
        <w:pStyle w:val="Normal1"/>
      </w:pPr>
      <w:r>
        <w:rPr>
          <w:rFonts w:ascii="Helvetica Neue" w:eastAsia="Helvetica Neue" w:hAnsi="Helvetica Neue" w:cs="Helvetica Neue"/>
          <w:sz w:val="20"/>
          <w:szCs w:val="20"/>
        </w:rPr>
        <w:t xml:space="preserve"> </w:t>
      </w:r>
    </w:p>
    <w:p w:rsidR="00AD2B52" w:rsidRDefault="0012652D">
      <w:pPr>
        <w:pStyle w:val="Normal1"/>
      </w:pPr>
      <w:r>
        <w:rPr>
          <w:rFonts w:ascii="Helvetica Neue" w:eastAsia="Helvetica Neue" w:hAnsi="Helvetica Neue" w:cs="Helvetica Neue"/>
          <w:sz w:val="20"/>
          <w:szCs w:val="20"/>
        </w:rPr>
        <w:t>Contacts pour le projet :</w:t>
      </w:r>
      <w:r w:rsidR="009B11BC">
        <w:rPr>
          <w:rFonts w:ascii="Helvetica Neue" w:eastAsia="Helvetica Neue" w:hAnsi="Helvetica Neue" w:cs="Helvetica Neue"/>
          <w:sz w:val="20"/>
          <w:szCs w:val="20"/>
        </w:rPr>
        <w:t xml:space="preserve"> Dominique GRASSELLY</w:t>
      </w:r>
    </w:p>
    <w:p w:rsidR="00AD2B52" w:rsidRDefault="0012652D">
      <w:pPr>
        <w:pStyle w:val="Normal1"/>
      </w:pPr>
      <w:r>
        <w:rPr>
          <w:rFonts w:ascii="Helvetica Neue" w:eastAsia="Helvetica Neue" w:hAnsi="Helvetica Neue" w:cs="Helvetica Neue"/>
          <w:sz w:val="20"/>
          <w:szCs w:val="20"/>
        </w:rPr>
        <w:t xml:space="preserve"> </w:t>
      </w:r>
    </w:p>
    <w:p w:rsidR="00611CE4" w:rsidRPr="00611CE4" w:rsidRDefault="0012652D">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Structure porteuse :</w:t>
      </w:r>
      <w:r w:rsidR="009B11BC">
        <w:rPr>
          <w:rFonts w:ascii="Helvetica Neue" w:eastAsia="Helvetica Neue" w:hAnsi="Helvetica Neue" w:cs="Helvetica Neue"/>
          <w:sz w:val="20"/>
          <w:szCs w:val="20"/>
        </w:rPr>
        <w:t xml:space="preserve"> Centre Technique Interprofessionnel des Fruits et Légumes</w:t>
      </w:r>
      <w:r w:rsidR="00611CE4">
        <w:rPr>
          <w:rFonts w:ascii="Helvetica Neue" w:eastAsia="Helvetica Neue" w:hAnsi="Helvetica Neue" w:cs="Helvetica Neue"/>
          <w:sz w:val="20"/>
          <w:szCs w:val="20"/>
        </w:rPr>
        <w:t xml:space="preserve">, route de </w:t>
      </w:r>
      <w:proofErr w:type="spellStart"/>
      <w:r w:rsidR="00611CE4">
        <w:rPr>
          <w:rFonts w:ascii="Helvetica Neue" w:eastAsia="Helvetica Neue" w:hAnsi="Helvetica Neue" w:cs="Helvetica Neue"/>
          <w:sz w:val="20"/>
          <w:szCs w:val="20"/>
        </w:rPr>
        <w:t>Molleges</w:t>
      </w:r>
      <w:proofErr w:type="spellEnd"/>
      <w:r w:rsidR="00611CE4">
        <w:rPr>
          <w:rFonts w:ascii="Helvetica Neue" w:eastAsia="Helvetica Neue" w:hAnsi="Helvetica Neue" w:cs="Helvetica Neue"/>
          <w:sz w:val="20"/>
          <w:szCs w:val="20"/>
        </w:rPr>
        <w:t>, 13210 Saint Rémy de Provence</w:t>
      </w:r>
    </w:p>
    <w:p w:rsidR="00AD2B52" w:rsidRDefault="0012652D">
      <w:pPr>
        <w:pStyle w:val="Normal1"/>
        <w:rPr>
          <w:rFonts w:ascii="Helvetica Neue" w:eastAsia="Helvetica Neue" w:hAnsi="Helvetica Neue" w:cs="Helvetica Neue"/>
          <w:i/>
          <w:color w:val="999999"/>
          <w:sz w:val="20"/>
          <w:szCs w:val="20"/>
        </w:rPr>
      </w:pPr>
      <w:r>
        <w:rPr>
          <w:rFonts w:ascii="Helvetica Neue" w:eastAsia="Helvetica Neue" w:hAnsi="Helvetica Neue" w:cs="Helvetica Neue"/>
          <w:i/>
          <w:color w:val="999999"/>
          <w:sz w:val="20"/>
          <w:szCs w:val="20"/>
        </w:rPr>
        <w:t xml:space="preserve"> </w:t>
      </w:r>
    </w:p>
    <w:p w:rsidR="00AD2B52" w:rsidRDefault="00AD2B52">
      <w:pPr>
        <w:pStyle w:val="Normal1"/>
      </w:pPr>
    </w:p>
    <w:p w:rsidR="00AD2B52" w:rsidRDefault="0012652D">
      <w:pPr>
        <w:pStyle w:val="Normal1"/>
      </w:pPr>
      <w:r>
        <w:rPr>
          <w:rFonts w:ascii="Helvetica Neue" w:eastAsia="Helvetica Neue" w:hAnsi="Helvetica Neue" w:cs="Helvetica Neue"/>
          <w:sz w:val="20"/>
          <w:szCs w:val="20"/>
        </w:rPr>
        <w:t>Territoire du projet et / ou filière concernée :</w:t>
      </w:r>
      <w:r w:rsidR="009B11BC">
        <w:rPr>
          <w:rFonts w:ascii="Helvetica Neue" w:eastAsia="Helvetica Neue" w:hAnsi="Helvetica Neue" w:cs="Helvetica Neue"/>
          <w:sz w:val="20"/>
          <w:szCs w:val="20"/>
        </w:rPr>
        <w:t xml:space="preserve"> France / Fruits et légumes</w:t>
      </w:r>
    </w:p>
    <w:p w:rsidR="00AD2B52" w:rsidRDefault="00AD2B52">
      <w:pPr>
        <w:pStyle w:val="Normal1"/>
      </w:pPr>
    </w:p>
    <w:p w:rsidR="00AD2B52" w:rsidRDefault="00AD2B52">
      <w:pPr>
        <w:pStyle w:val="Normal1"/>
      </w:pPr>
    </w:p>
    <w:p w:rsidR="00AD2B52" w:rsidRDefault="0012652D">
      <w:pPr>
        <w:pStyle w:val="Normal1"/>
      </w:pPr>
      <w:r>
        <w:rPr>
          <w:rFonts w:ascii="Helvetica Neue" w:eastAsia="Helvetica Neue" w:hAnsi="Helvetica Neue" w:cs="Helvetica Neue"/>
          <w:sz w:val="20"/>
          <w:szCs w:val="20"/>
        </w:rPr>
        <w:t>Date et durée du projet :</w:t>
      </w:r>
      <w:r w:rsidR="009B11BC">
        <w:rPr>
          <w:rFonts w:ascii="Helvetica Neue" w:eastAsia="Helvetica Neue" w:hAnsi="Helvetica Neue" w:cs="Helvetica Neue"/>
          <w:sz w:val="20"/>
          <w:szCs w:val="20"/>
        </w:rPr>
        <w:t xml:space="preserve"> janvier 2015 à décembre 2017</w:t>
      </w:r>
    </w:p>
    <w:p w:rsidR="00AD2B52" w:rsidRDefault="0012652D">
      <w:pPr>
        <w:pStyle w:val="Normal1"/>
      </w:pPr>
      <w:r>
        <w:rPr>
          <w:rFonts w:ascii="Helvetica Neue" w:eastAsia="Helvetica Neue" w:hAnsi="Helvetica Neue" w:cs="Helvetica Neue"/>
          <w:sz w:val="20"/>
          <w:szCs w:val="20"/>
        </w:rPr>
        <w:t xml:space="preserve"> </w:t>
      </w:r>
    </w:p>
    <w:p w:rsidR="00AD2B52" w:rsidRDefault="0012652D">
      <w:pPr>
        <w:pStyle w:val="Normal1"/>
      </w:pPr>
      <w:r>
        <w:rPr>
          <w:rFonts w:ascii="Helvetica Neue" w:eastAsia="Helvetica Neue" w:hAnsi="Helvetica Neue" w:cs="Helvetica Neue"/>
          <w:sz w:val="20"/>
          <w:szCs w:val="20"/>
        </w:rPr>
        <w:t>Thématique du projet : 2 choix possibles</w:t>
      </w:r>
    </w:p>
    <w:p w:rsidR="00AD2B52" w:rsidRDefault="0012652D" w:rsidP="0012652D">
      <w:pPr>
        <w:pStyle w:val="Normal1"/>
        <w:numPr>
          <w:ilvl w:val="0"/>
          <w:numId w:val="1"/>
        </w:numPr>
      </w:pPr>
      <w:r>
        <w:rPr>
          <w:rFonts w:ascii="Fira Mono" w:eastAsia="Fira Mono" w:hAnsi="Fira Mono" w:cs="Fira Mono"/>
          <w:sz w:val="20"/>
          <w:szCs w:val="20"/>
        </w:rPr>
        <w:t xml:space="preserve">efficacité énergétique, </w:t>
      </w:r>
    </w:p>
    <w:p w:rsidR="00AD2B52" w:rsidRDefault="0012652D" w:rsidP="0012652D">
      <w:pPr>
        <w:pStyle w:val="Normal1"/>
        <w:numPr>
          <w:ilvl w:val="0"/>
          <w:numId w:val="1"/>
        </w:numPr>
      </w:pPr>
      <w:r>
        <w:rPr>
          <w:rFonts w:ascii="Fira Mono" w:eastAsia="Fira Mono" w:hAnsi="Fira Mono" w:cs="Fira Mono"/>
          <w:sz w:val="20"/>
          <w:szCs w:val="20"/>
        </w:rPr>
        <w:t xml:space="preserve">autonomie alimentaire, </w:t>
      </w:r>
    </w:p>
    <w:p w:rsidR="00AD2B52" w:rsidRDefault="0012652D" w:rsidP="0012652D">
      <w:pPr>
        <w:pStyle w:val="Normal1"/>
        <w:numPr>
          <w:ilvl w:val="0"/>
          <w:numId w:val="1"/>
        </w:numPr>
      </w:pPr>
      <w:r>
        <w:rPr>
          <w:rFonts w:ascii="Fira Mono" w:eastAsia="Fira Mono" w:hAnsi="Fira Mono" w:cs="Fira Mono"/>
          <w:sz w:val="20"/>
          <w:szCs w:val="20"/>
        </w:rPr>
        <w:t xml:space="preserve">qualité des sols, </w:t>
      </w:r>
    </w:p>
    <w:p w:rsidR="00AD2B52" w:rsidRDefault="0012652D" w:rsidP="0012652D">
      <w:pPr>
        <w:pStyle w:val="Normal1"/>
        <w:numPr>
          <w:ilvl w:val="0"/>
          <w:numId w:val="1"/>
        </w:numPr>
      </w:pPr>
      <w:r>
        <w:rPr>
          <w:rFonts w:ascii="Fira Mono" w:eastAsia="Fira Mono" w:hAnsi="Fira Mono" w:cs="Fira Mono"/>
          <w:sz w:val="20"/>
          <w:szCs w:val="20"/>
        </w:rPr>
        <w:t xml:space="preserve">complémentarité élevage culture, </w:t>
      </w:r>
    </w:p>
    <w:p w:rsidR="00AD2B52" w:rsidRDefault="0012652D" w:rsidP="0012652D">
      <w:pPr>
        <w:pStyle w:val="Normal1"/>
        <w:numPr>
          <w:ilvl w:val="0"/>
          <w:numId w:val="1"/>
        </w:numPr>
      </w:pPr>
      <w:r>
        <w:rPr>
          <w:rFonts w:ascii="Fira Mono" w:eastAsia="Fira Mono" w:hAnsi="Fira Mono" w:cs="Fira Mono"/>
          <w:sz w:val="20"/>
          <w:szCs w:val="20"/>
        </w:rPr>
        <w:t xml:space="preserve">énergies renouvelables, </w:t>
      </w:r>
    </w:p>
    <w:p w:rsidR="00AD2B52" w:rsidRPr="009B11BC" w:rsidRDefault="0012652D" w:rsidP="00ED1F07">
      <w:pPr>
        <w:pStyle w:val="Normal1"/>
        <w:numPr>
          <w:ilvl w:val="0"/>
          <w:numId w:val="2"/>
        </w:numPr>
        <w:rPr>
          <w:b/>
        </w:rPr>
      </w:pPr>
      <w:r w:rsidRPr="009B11BC">
        <w:rPr>
          <w:rFonts w:ascii="Fira Mono" w:eastAsia="Fira Mono" w:hAnsi="Fira Mono" w:cs="Fira Mono"/>
          <w:b/>
          <w:sz w:val="20"/>
          <w:szCs w:val="20"/>
        </w:rPr>
        <w:t>émission de GES</w:t>
      </w:r>
    </w:p>
    <w:p w:rsidR="00AD2B52" w:rsidRDefault="0012652D">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12652D" w:rsidRDefault="0012652D">
      <w:pPr>
        <w:pStyle w:val="Normal1"/>
      </w:pPr>
    </w:p>
    <w:p w:rsidR="00AD2B52" w:rsidRDefault="0012652D">
      <w:pPr>
        <w:pStyle w:val="Normal1"/>
      </w:pPr>
      <w:r>
        <w:rPr>
          <w:rFonts w:ascii="Helvetica Neue" w:eastAsia="Helvetica Neue" w:hAnsi="Helvetica Neue" w:cs="Helvetica Neue"/>
          <w:sz w:val="20"/>
          <w:szCs w:val="20"/>
        </w:rPr>
        <w:t>Contexte et objectif du projet : (130 mots / 570 caractères)</w:t>
      </w:r>
    </w:p>
    <w:p w:rsidR="00AD2B52" w:rsidRDefault="009B11BC">
      <w:pPr>
        <w:pStyle w:val="Normal1"/>
      </w:pPr>
      <w:r>
        <w:t xml:space="preserve">Le projet vise à compléter la base de données d’inventaires de cycle de vie des produits agricoles français (AGRIBALYSE de l’ADEME) et d’améliorer les itinéraires de production et l’empreinte environnementale de la production des fruits et légumes. </w:t>
      </w:r>
    </w:p>
    <w:p w:rsidR="00AD2B52" w:rsidRDefault="00AD2B52">
      <w:pPr>
        <w:pStyle w:val="Normal1"/>
      </w:pPr>
    </w:p>
    <w:p w:rsidR="00AD2B52" w:rsidRDefault="00AD2B52">
      <w:pPr>
        <w:pStyle w:val="Normal1"/>
      </w:pPr>
    </w:p>
    <w:p w:rsidR="00AD2B52" w:rsidRDefault="0012652D">
      <w:pPr>
        <w:pStyle w:val="Normal1"/>
      </w:pPr>
      <w:r>
        <w:rPr>
          <w:rFonts w:ascii="Helvetica Neue" w:eastAsia="Helvetica Neue" w:hAnsi="Helvetica Neue" w:cs="Helvetica Neue"/>
          <w:sz w:val="20"/>
          <w:szCs w:val="20"/>
        </w:rPr>
        <w:t>Description de l’action : (130 mots / 570 caractères)</w:t>
      </w:r>
    </w:p>
    <w:p w:rsidR="00AD2B52" w:rsidRDefault="00E337C8">
      <w:pPr>
        <w:pStyle w:val="Normal1"/>
      </w:pPr>
      <w:r>
        <w:t xml:space="preserve">Les principaux modes de production d’une dizaine de fruits et légumes ont été étudiés grâce à l’analyse de cycle de vie. </w:t>
      </w:r>
      <w:r w:rsidR="00611CE4">
        <w:t xml:space="preserve">Plusieurs indicateurs environnementaux dont les émissions de </w:t>
      </w:r>
      <w:r w:rsidR="00611CE4">
        <w:lastRenderedPageBreak/>
        <w:t xml:space="preserve">GES sont ainsi calculés. </w:t>
      </w:r>
      <w:r w:rsidR="00A0380B">
        <w:t xml:space="preserve"> Les résultats permettent d’identifier les postes les plus importants</w:t>
      </w:r>
      <w:r>
        <w:t xml:space="preserve"> </w:t>
      </w:r>
      <w:r w:rsidR="00A0380B">
        <w:t>sur lesquels il est intéressant d’agir pour améliorer l’empreinte environnementale.</w:t>
      </w:r>
    </w:p>
    <w:p w:rsidR="00E337C8" w:rsidRDefault="00E337C8">
      <w:pPr>
        <w:pStyle w:val="Normal1"/>
      </w:pPr>
      <w:r>
        <w:t xml:space="preserve">Des solutions </w:t>
      </w:r>
      <w:r w:rsidR="00611CE4">
        <w:t xml:space="preserve">d’amélioration </w:t>
      </w:r>
      <w:r>
        <w:t>sont proposées et évaluées grâce à l’analyse de cycle de vie</w:t>
      </w:r>
      <w:r w:rsidR="00611CE4">
        <w:t xml:space="preserve"> et ainsi pouvoir</w:t>
      </w:r>
      <w:bookmarkStart w:id="0" w:name="_GoBack"/>
      <w:bookmarkEnd w:id="0"/>
      <w:r w:rsidR="00611CE4">
        <w:t xml:space="preserve"> mesurer</w:t>
      </w:r>
      <w:r>
        <w:t xml:space="preserve"> les marges de progrès.</w:t>
      </w:r>
    </w:p>
    <w:p w:rsidR="00AD2B52" w:rsidRDefault="00AD2B52">
      <w:pPr>
        <w:pStyle w:val="Normal1"/>
      </w:pPr>
    </w:p>
    <w:p w:rsidR="00AD2B52" w:rsidRDefault="0012652D">
      <w:pPr>
        <w:pStyle w:val="Normal1"/>
      </w:pPr>
      <w:r>
        <w:rPr>
          <w:rFonts w:ascii="Helvetica Neue" w:eastAsia="Helvetica Neue" w:hAnsi="Helvetica Neue" w:cs="Helvetica Neue"/>
          <w:i/>
          <w:color w:val="999999"/>
          <w:sz w:val="20"/>
          <w:szCs w:val="20"/>
        </w:rPr>
        <w:t xml:space="preserve"> </w:t>
      </w:r>
    </w:p>
    <w:p w:rsidR="00AD2B52" w:rsidRDefault="00AD2B52">
      <w:pPr>
        <w:pStyle w:val="Normal1"/>
      </w:pPr>
    </w:p>
    <w:p w:rsidR="00AD2B52" w:rsidRDefault="0012652D">
      <w:pPr>
        <w:pStyle w:val="Normal1"/>
      </w:pPr>
      <w:r>
        <w:rPr>
          <w:rFonts w:ascii="Helvetica Neue" w:eastAsia="Helvetica Neue" w:hAnsi="Helvetica Neue" w:cs="Helvetica Neue"/>
          <w:sz w:val="20"/>
          <w:szCs w:val="20"/>
        </w:rPr>
        <w:t xml:space="preserve">Partenaires opérationnels : </w:t>
      </w:r>
      <w:r w:rsidR="009B11BC">
        <w:rPr>
          <w:rFonts w:ascii="Helvetica Neue" w:eastAsia="Helvetica Neue" w:hAnsi="Helvetica Neue" w:cs="Helvetica Neue"/>
          <w:sz w:val="20"/>
          <w:szCs w:val="20"/>
        </w:rPr>
        <w:t>ADEME, INRA, AOP</w:t>
      </w:r>
    </w:p>
    <w:p w:rsidR="00AD2B52" w:rsidRDefault="00AD2B52">
      <w:pPr>
        <w:pStyle w:val="Normal1"/>
      </w:pPr>
    </w:p>
    <w:p w:rsidR="00AD2B52" w:rsidRDefault="00AD2B52">
      <w:pPr>
        <w:pStyle w:val="Normal1"/>
      </w:pPr>
    </w:p>
    <w:p w:rsidR="00AD2B52" w:rsidRDefault="0012652D">
      <w:pPr>
        <w:pStyle w:val="Normal1"/>
      </w:pPr>
      <w:r>
        <w:rPr>
          <w:rFonts w:ascii="Helvetica Neue" w:eastAsia="Helvetica Neue" w:hAnsi="Helvetica Neue" w:cs="Helvetica Neue"/>
          <w:sz w:val="20"/>
          <w:szCs w:val="20"/>
        </w:rPr>
        <w:t>Partenaires financiers :</w:t>
      </w:r>
      <w:r w:rsidR="009B11BC">
        <w:rPr>
          <w:rFonts w:ascii="Helvetica Neue" w:eastAsia="Helvetica Neue" w:hAnsi="Helvetica Neue" w:cs="Helvetica Neue"/>
          <w:sz w:val="20"/>
          <w:szCs w:val="20"/>
        </w:rPr>
        <w:t xml:space="preserve"> ADEME, CASDAR</w:t>
      </w:r>
    </w:p>
    <w:p w:rsidR="00AD2B52" w:rsidRDefault="00AD2B52">
      <w:pPr>
        <w:pStyle w:val="Normal1"/>
      </w:pPr>
    </w:p>
    <w:sectPr w:rsidR="00AD2B52" w:rsidSect="00AD2B52">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52" w:rsidRDefault="00AD2B52" w:rsidP="00AD2B52">
      <w:pPr>
        <w:spacing w:line="240" w:lineRule="auto"/>
      </w:pPr>
      <w:r>
        <w:separator/>
      </w:r>
    </w:p>
  </w:endnote>
  <w:endnote w:type="continuationSeparator" w:id="0">
    <w:p w:rsidR="00AD2B52" w:rsidRDefault="00AD2B52" w:rsidP="00AD2B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 w:name="Fira Mon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52" w:rsidRDefault="0012652D">
    <w:pPr>
      <w:pStyle w:val="Normal1"/>
      <w:jc w:val="center"/>
    </w:pPr>
    <w:r>
      <w:rPr>
        <w:noProof/>
      </w:rPr>
      <w:drawing>
        <wp:inline distT="114300" distB="114300" distL="114300" distR="114300">
          <wp:extent cx="2452688" cy="831143"/>
          <wp:effectExtent l="0" t="0" r="0" b="0"/>
          <wp:docPr id="1" name="image02.png" descr="logo-accrod-cadre-etat-region-ademe.png"/>
          <wp:cNvGraphicFramePr/>
          <a:graphic xmlns:a="http://schemas.openxmlformats.org/drawingml/2006/main">
            <a:graphicData uri="http://schemas.openxmlformats.org/drawingml/2006/picture">
              <pic:pic xmlns:pic="http://schemas.openxmlformats.org/drawingml/2006/picture">
                <pic:nvPicPr>
                  <pic:cNvPr id="0" name="image02.png" descr="logo-accrod-cadre-etat-region-ademe.png"/>
                  <pic:cNvPicPr preferRelativeResize="0"/>
                </pic:nvPicPr>
                <pic:blipFill>
                  <a:blip r:embed="rId1"/>
                  <a:srcRect/>
                  <a:stretch>
                    <a:fillRect/>
                  </a:stretch>
                </pic:blipFill>
                <pic:spPr>
                  <a:xfrm>
                    <a:off x="0" y="0"/>
                    <a:ext cx="2452688" cy="831143"/>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52" w:rsidRDefault="00AD2B52" w:rsidP="00AD2B52">
      <w:pPr>
        <w:spacing w:line="240" w:lineRule="auto"/>
      </w:pPr>
      <w:r>
        <w:separator/>
      </w:r>
    </w:p>
  </w:footnote>
  <w:footnote w:type="continuationSeparator" w:id="0">
    <w:p w:rsidR="00AD2B52" w:rsidRDefault="00AD2B52" w:rsidP="00AD2B5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52" w:rsidRDefault="0012652D">
    <w:pPr>
      <w:pStyle w:val="Normal1"/>
      <w:ind w:hanging="450"/>
    </w:pPr>
    <w:r>
      <w:rPr>
        <w:noProof/>
      </w:rPr>
      <w:drawing>
        <wp:inline distT="114300" distB="114300" distL="114300" distR="114300">
          <wp:extent cx="2171700" cy="1181100"/>
          <wp:effectExtent l="0" t="0" r="0" b="0"/>
          <wp:docPr id="2" name="image03.jpg" descr="iraee.jpg"/>
          <wp:cNvGraphicFramePr/>
          <a:graphic xmlns:a="http://schemas.openxmlformats.org/drawingml/2006/main">
            <a:graphicData uri="http://schemas.openxmlformats.org/drawingml/2006/picture">
              <pic:pic xmlns:pic="http://schemas.openxmlformats.org/drawingml/2006/picture">
                <pic:nvPicPr>
                  <pic:cNvPr id="0" name="image03.jpg" descr="iraee.jpg"/>
                  <pic:cNvPicPr preferRelativeResize="0"/>
                </pic:nvPicPr>
                <pic:blipFill>
                  <a:blip r:embed="rId1"/>
                  <a:srcRect r="62126"/>
                  <a:stretch>
                    <a:fillRect/>
                  </a:stretch>
                </pic:blipFill>
                <pic:spPr>
                  <a:xfrm>
                    <a:off x="0" y="0"/>
                    <a:ext cx="2171700" cy="118110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D29DE"/>
    <w:multiLevelType w:val="hybridMultilevel"/>
    <w:tmpl w:val="E774EA0A"/>
    <w:lvl w:ilvl="0" w:tplc="31F00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2165A3"/>
    <w:multiLevelType w:val="hybridMultilevel"/>
    <w:tmpl w:val="F092D3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AD2B52"/>
    <w:rsid w:val="0012652D"/>
    <w:rsid w:val="00344CB1"/>
    <w:rsid w:val="00611CE4"/>
    <w:rsid w:val="009B11BC"/>
    <w:rsid w:val="00A0380B"/>
    <w:rsid w:val="00AD2B52"/>
    <w:rsid w:val="00E337C8"/>
    <w:rsid w:val="00ED1F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B1"/>
  </w:style>
  <w:style w:type="paragraph" w:styleId="Titre1">
    <w:name w:val="heading 1"/>
    <w:basedOn w:val="Normal1"/>
    <w:next w:val="Normal1"/>
    <w:rsid w:val="00AD2B52"/>
    <w:pPr>
      <w:keepNext/>
      <w:keepLines/>
      <w:spacing w:before="400" w:after="120"/>
      <w:contextualSpacing/>
      <w:outlineLvl w:val="0"/>
    </w:pPr>
    <w:rPr>
      <w:sz w:val="40"/>
      <w:szCs w:val="40"/>
    </w:rPr>
  </w:style>
  <w:style w:type="paragraph" w:styleId="Titre2">
    <w:name w:val="heading 2"/>
    <w:basedOn w:val="Normal1"/>
    <w:next w:val="Normal1"/>
    <w:rsid w:val="00AD2B52"/>
    <w:pPr>
      <w:keepNext/>
      <w:keepLines/>
      <w:spacing w:before="360" w:after="120"/>
      <w:contextualSpacing/>
      <w:outlineLvl w:val="1"/>
    </w:pPr>
    <w:rPr>
      <w:sz w:val="32"/>
      <w:szCs w:val="32"/>
    </w:rPr>
  </w:style>
  <w:style w:type="paragraph" w:styleId="Titre3">
    <w:name w:val="heading 3"/>
    <w:basedOn w:val="Normal1"/>
    <w:next w:val="Normal1"/>
    <w:rsid w:val="00AD2B52"/>
    <w:pPr>
      <w:keepNext/>
      <w:keepLines/>
      <w:spacing w:before="320" w:after="80"/>
      <w:contextualSpacing/>
      <w:outlineLvl w:val="2"/>
    </w:pPr>
    <w:rPr>
      <w:color w:val="434343"/>
      <w:sz w:val="28"/>
      <w:szCs w:val="28"/>
    </w:rPr>
  </w:style>
  <w:style w:type="paragraph" w:styleId="Titre4">
    <w:name w:val="heading 4"/>
    <w:basedOn w:val="Normal1"/>
    <w:next w:val="Normal1"/>
    <w:rsid w:val="00AD2B52"/>
    <w:pPr>
      <w:keepNext/>
      <w:keepLines/>
      <w:spacing w:before="280" w:after="80"/>
      <w:contextualSpacing/>
      <w:outlineLvl w:val="3"/>
    </w:pPr>
    <w:rPr>
      <w:color w:val="666666"/>
      <w:sz w:val="24"/>
      <w:szCs w:val="24"/>
    </w:rPr>
  </w:style>
  <w:style w:type="paragraph" w:styleId="Titre5">
    <w:name w:val="heading 5"/>
    <w:basedOn w:val="Normal1"/>
    <w:next w:val="Normal1"/>
    <w:rsid w:val="00AD2B52"/>
    <w:pPr>
      <w:keepNext/>
      <w:keepLines/>
      <w:spacing w:before="240" w:after="80"/>
      <w:contextualSpacing/>
      <w:outlineLvl w:val="4"/>
    </w:pPr>
    <w:rPr>
      <w:color w:val="666666"/>
    </w:rPr>
  </w:style>
  <w:style w:type="paragraph" w:styleId="Titre6">
    <w:name w:val="heading 6"/>
    <w:basedOn w:val="Normal1"/>
    <w:next w:val="Normal1"/>
    <w:rsid w:val="00AD2B52"/>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AD2B52"/>
  </w:style>
  <w:style w:type="table" w:customStyle="1" w:styleId="TableNormal">
    <w:name w:val="Table Normal"/>
    <w:rsid w:val="00AD2B52"/>
    <w:tblPr>
      <w:tblCellMar>
        <w:top w:w="0" w:type="dxa"/>
        <w:left w:w="0" w:type="dxa"/>
        <w:bottom w:w="0" w:type="dxa"/>
        <w:right w:w="0" w:type="dxa"/>
      </w:tblCellMar>
    </w:tblPr>
  </w:style>
  <w:style w:type="paragraph" w:styleId="Titre">
    <w:name w:val="Title"/>
    <w:basedOn w:val="Normal1"/>
    <w:next w:val="Normal1"/>
    <w:rsid w:val="00AD2B52"/>
    <w:pPr>
      <w:keepNext/>
      <w:keepLines/>
      <w:spacing w:after="60"/>
      <w:contextualSpacing/>
    </w:pPr>
    <w:rPr>
      <w:sz w:val="52"/>
      <w:szCs w:val="52"/>
    </w:rPr>
  </w:style>
  <w:style w:type="paragraph" w:styleId="Sous-titre">
    <w:name w:val="Subtitle"/>
    <w:basedOn w:val="Normal1"/>
    <w:next w:val="Normal1"/>
    <w:rsid w:val="00AD2B52"/>
    <w:pPr>
      <w:keepNext/>
      <w:keepLines/>
      <w:spacing w:after="320"/>
      <w:contextualSpacing/>
    </w:pPr>
    <w:rPr>
      <w:color w:val="666666"/>
      <w:sz w:val="30"/>
      <w:szCs w:val="30"/>
    </w:rPr>
  </w:style>
  <w:style w:type="paragraph" w:styleId="Textedebulles">
    <w:name w:val="Balloon Text"/>
    <w:basedOn w:val="Normal"/>
    <w:link w:val="TextedebullesCar"/>
    <w:uiPriority w:val="99"/>
    <w:semiHidden/>
    <w:unhideWhenUsed/>
    <w:rsid w:val="0012652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6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rsid w:val="00AD2B52"/>
    <w:pPr>
      <w:keepNext/>
      <w:keepLines/>
      <w:spacing w:before="400" w:after="120"/>
      <w:contextualSpacing/>
      <w:outlineLvl w:val="0"/>
    </w:pPr>
    <w:rPr>
      <w:sz w:val="40"/>
      <w:szCs w:val="40"/>
    </w:rPr>
  </w:style>
  <w:style w:type="paragraph" w:styleId="Titre2">
    <w:name w:val="heading 2"/>
    <w:basedOn w:val="Normal1"/>
    <w:next w:val="Normal1"/>
    <w:rsid w:val="00AD2B52"/>
    <w:pPr>
      <w:keepNext/>
      <w:keepLines/>
      <w:spacing w:before="360" w:after="120"/>
      <w:contextualSpacing/>
      <w:outlineLvl w:val="1"/>
    </w:pPr>
    <w:rPr>
      <w:sz w:val="32"/>
      <w:szCs w:val="32"/>
    </w:rPr>
  </w:style>
  <w:style w:type="paragraph" w:styleId="Titre3">
    <w:name w:val="heading 3"/>
    <w:basedOn w:val="Normal1"/>
    <w:next w:val="Normal1"/>
    <w:rsid w:val="00AD2B52"/>
    <w:pPr>
      <w:keepNext/>
      <w:keepLines/>
      <w:spacing w:before="320" w:after="80"/>
      <w:contextualSpacing/>
      <w:outlineLvl w:val="2"/>
    </w:pPr>
    <w:rPr>
      <w:color w:val="434343"/>
      <w:sz w:val="28"/>
      <w:szCs w:val="28"/>
    </w:rPr>
  </w:style>
  <w:style w:type="paragraph" w:styleId="Titre4">
    <w:name w:val="heading 4"/>
    <w:basedOn w:val="Normal1"/>
    <w:next w:val="Normal1"/>
    <w:rsid w:val="00AD2B52"/>
    <w:pPr>
      <w:keepNext/>
      <w:keepLines/>
      <w:spacing w:before="280" w:after="80"/>
      <w:contextualSpacing/>
      <w:outlineLvl w:val="3"/>
    </w:pPr>
    <w:rPr>
      <w:color w:val="666666"/>
      <w:sz w:val="24"/>
      <w:szCs w:val="24"/>
    </w:rPr>
  </w:style>
  <w:style w:type="paragraph" w:styleId="Titre5">
    <w:name w:val="heading 5"/>
    <w:basedOn w:val="Normal1"/>
    <w:next w:val="Normal1"/>
    <w:rsid w:val="00AD2B52"/>
    <w:pPr>
      <w:keepNext/>
      <w:keepLines/>
      <w:spacing w:before="240" w:after="80"/>
      <w:contextualSpacing/>
      <w:outlineLvl w:val="4"/>
    </w:pPr>
    <w:rPr>
      <w:color w:val="666666"/>
    </w:rPr>
  </w:style>
  <w:style w:type="paragraph" w:styleId="Titre6">
    <w:name w:val="heading 6"/>
    <w:basedOn w:val="Normal1"/>
    <w:next w:val="Normal1"/>
    <w:rsid w:val="00AD2B52"/>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AD2B52"/>
  </w:style>
  <w:style w:type="table" w:customStyle="1" w:styleId="TableNormal">
    <w:name w:val="Table Normal"/>
    <w:rsid w:val="00AD2B52"/>
    <w:tblPr>
      <w:tblCellMar>
        <w:top w:w="0" w:type="dxa"/>
        <w:left w:w="0" w:type="dxa"/>
        <w:bottom w:w="0" w:type="dxa"/>
        <w:right w:w="0" w:type="dxa"/>
      </w:tblCellMar>
    </w:tblPr>
  </w:style>
  <w:style w:type="paragraph" w:styleId="Titre">
    <w:name w:val="Title"/>
    <w:basedOn w:val="Normal1"/>
    <w:next w:val="Normal1"/>
    <w:rsid w:val="00AD2B52"/>
    <w:pPr>
      <w:keepNext/>
      <w:keepLines/>
      <w:spacing w:after="60"/>
      <w:contextualSpacing/>
    </w:pPr>
    <w:rPr>
      <w:sz w:val="52"/>
      <w:szCs w:val="52"/>
    </w:rPr>
  </w:style>
  <w:style w:type="paragraph" w:styleId="Sous-titre">
    <w:name w:val="Subtitle"/>
    <w:basedOn w:val="Normal1"/>
    <w:next w:val="Normal1"/>
    <w:rsid w:val="00AD2B52"/>
    <w:pPr>
      <w:keepNext/>
      <w:keepLines/>
      <w:spacing w:after="320"/>
      <w:contextualSpacing/>
    </w:pPr>
    <w:rPr>
      <w:color w:val="666666"/>
      <w:sz w:val="30"/>
      <w:szCs w:val="30"/>
    </w:rPr>
  </w:style>
  <w:style w:type="paragraph" w:styleId="Textedebulles">
    <w:name w:val="Balloon Text"/>
    <w:basedOn w:val="Normal"/>
    <w:link w:val="TextedebullesCar"/>
    <w:uiPriority w:val="99"/>
    <w:semiHidden/>
    <w:unhideWhenUsed/>
    <w:rsid w:val="0012652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6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2019</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Chambre d'Agriculture des Bouches-du-Rhône</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Fouant</dc:creator>
  <cp:lastModifiedBy>t.fouant</cp:lastModifiedBy>
  <cp:revision>2</cp:revision>
  <dcterms:created xsi:type="dcterms:W3CDTF">2017-09-15T09:41:00Z</dcterms:created>
  <dcterms:modified xsi:type="dcterms:W3CDTF">2017-09-15T09:41:00Z</dcterms:modified>
</cp:coreProperties>
</file>